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BC48B" w14:textId="77777777" w:rsidR="00503272" w:rsidRDefault="00503272" w:rsidP="00503272">
      <w:pPr>
        <w:pStyle w:val="BodyText"/>
        <w:spacing w:before="9"/>
        <w:ind w:left="0"/>
        <w:rPr>
          <w:sz w:val="26"/>
        </w:rPr>
      </w:pPr>
    </w:p>
    <w:p w14:paraId="273FEB1B" w14:textId="77777777" w:rsidR="00503272" w:rsidRDefault="00503272" w:rsidP="00503272">
      <w:pPr>
        <w:pStyle w:val="Heading1"/>
        <w:tabs>
          <w:tab w:val="left" w:pos="6581"/>
        </w:tabs>
        <w:spacing w:before="90"/>
      </w:pPr>
      <w:r>
        <w:t>QUALIFIED</w:t>
      </w:r>
      <w:r>
        <w:rPr>
          <w:spacing w:val="-2"/>
        </w:rPr>
        <w:t xml:space="preserve"> </w:t>
      </w:r>
      <w:r>
        <w:t>VOTERS/VOTING</w:t>
      </w:r>
      <w:r>
        <w:tab/>
      </w:r>
    </w:p>
    <w:p w14:paraId="5A2B1FC8" w14:textId="77777777" w:rsidR="00503272" w:rsidRDefault="00503272" w:rsidP="00503272">
      <w:pPr>
        <w:pStyle w:val="Heading1"/>
        <w:tabs>
          <w:tab w:val="left" w:pos="6581"/>
        </w:tabs>
        <w:spacing w:before="90"/>
      </w:pPr>
      <w:r>
        <w:t>ALTERNATIVE VERSION 1</w:t>
      </w:r>
    </w:p>
    <w:p w14:paraId="436F259B" w14:textId="77777777" w:rsidR="00503272" w:rsidRDefault="00503272" w:rsidP="00503272">
      <w:pPr>
        <w:pStyle w:val="BodyText"/>
        <w:ind w:left="5861"/>
      </w:pPr>
      <w:r>
        <w:t>(Inclusive of others beyond the floor)</w:t>
      </w:r>
    </w:p>
    <w:p w14:paraId="1A027F02" w14:textId="77777777" w:rsidR="00503272" w:rsidRDefault="00503272" w:rsidP="00503272">
      <w:pPr>
        <w:pStyle w:val="Heading1"/>
        <w:spacing w:before="180"/>
      </w:pPr>
      <w:r>
        <w:t>SECTION 2.</w:t>
      </w:r>
    </w:p>
    <w:p w14:paraId="6CCF1F14" w14:textId="77777777" w:rsidR="00503272" w:rsidRDefault="00503272" w:rsidP="00503272">
      <w:pPr>
        <w:spacing w:before="183"/>
        <w:ind w:left="100"/>
        <w:rPr>
          <w:b/>
          <w:sz w:val="24"/>
        </w:rPr>
      </w:pPr>
      <w:r>
        <w:rPr>
          <w:b/>
          <w:sz w:val="24"/>
        </w:rPr>
        <w:t>Qualified Voters Consist of the Following:</w:t>
      </w:r>
    </w:p>
    <w:p w14:paraId="60E83AAC" w14:textId="77777777" w:rsidR="00503272" w:rsidRDefault="00503272" w:rsidP="00503272">
      <w:pPr>
        <w:pStyle w:val="BodyText"/>
      </w:pPr>
      <w:r>
        <w:t>All qualified voters must be citizens of the United States.</w:t>
      </w:r>
    </w:p>
    <w:p w14:paraId="481FD4CA" w14:textId="77777777" w:rsidR="00503272" w:rsidRDefault="00503272" w:rsidP="00503272">
      <w:pPr>
        <w:pStyle w:val="ListParagraph"/>
        <w:numPr>
          <w:ilvl w:val="0"/>
          <w:numId w:val="2"/>
        </w:numPr>
        <w:tabs>
          <w:tab w:val="left" w:pos="499"/>
        </w:tabs>
        <w:spacing w:before="182" w:line="259" w:lineRule="auto"/>
        <w:ind w:right="154" w:firstLine="60"/>
        <w:rPr>
          <w:sz w:val="24"/>
        </w:rPr>
      </w:pPr>
      <w:r>
        <w:rPr>
          <w:sz w:val="24"/>
        </w:rPr>
        <w:t>Every person of the age of majority (18 years old or older) who has a “residence and home,” as set forth in the Rhode Island Constitution, in the District and who shall be qualified and registered to vote with the proper authorities of the Town of Narragansett at least thirty (30) days before the Annual Meeting or a special meeting, regardless of whether they own real property; (Required);</w:t>
      </w:r>
    </w:p>
    <w:p w14:paraId="08333057" w14:textId="77777777" w:rsidR="00503272" w:rsidRDefault="00503272" w:rsidP="00503272">
      <w:pPr>
        <w:pStyle w:val="ListParagraph"/>
        <w:numPr>
          <w:ilvl w:val="0"/>
          <w:numId w:val="2"/>
        </w:numPr>
        <w:tabs>
          <w:tab w:val="left" w:pos="439"/>
        </w:tabs>
        <w:spacing w:line="259" w:lineRule="auto"/>
        <w:ind w:right="359" w:firstLine="0"/>
        <w:rPr>
          <w:sz w:val="24"/>
        </w:rPr>
      </w:pPr>
      <w:r>
        <w:rPr>
          <w:sz w:val="24"/>
        </w:rPr>
        <w:t>Every person of the age of majority (18 years old or older) who is an owner of residential taxable real property in the District, for at least thirty (30) days before the Annual Meeting or a special</w:t>
      </w:r>
      <w:r>
        <w:rPr>
          <w:spacing w:val="-1"/>
          <w:sz w:val="24"/>
        </w:rPr>
        <w:t xml:space="preserve"> </w:t>
      </w:r>
      <w:r>
        <w:rPr>
          <w:sz w:val="24"/>
        </w:rPr>
        <w:t>meeting;</w:t>
      </w:r>
    </w:p>
    <w:p w14:paraId="2ED21CC0" w14:textId="77777777" w:rsidR="00503272" w:rsidRPr="006539B8" w:rsidRDefault="00503272" w:rsidP="00503272">
      <w:pPr>
        <w:pStyle w:val="ListParagraph"/>
        <w:numPr>
          <w:ilvl w:val="0"/>
          <w:numId w:val="2"/>
        </w:numPr>
        <w:tabs>
          <w:tab w:val="left" w:pos="439"/>
        </w:tabs>
        <w:spacing w:before="159" w:line="259" w:lineRule="auto"/>
        <w:ind w:right="562" w:firstLine="0"/>
        <w:rPr>
          <w:sz w:val="24"/>
        </w:rPr>
      </w:pPr>
      <w:r>
        <w:rPr>
          <w:sz w:val="24"/>
        </w:rPr>
        <w:t>Every trustee of the age of majority (18 years old or older) of a trust that owns residential taxable real property in the District, for at least thirty days before the Annual Meeting or a special</w:t>
      </w:r>
      <w:r>
        <w:rPr>
          <w:spacing w:val="-1"/>
          <w:sz w:val="24"/>
        </w:rPr>
        <w:t xml:space="preserve"> </w:t>
      </w:r>
      <w:r>
        <w:rPr>
          <w:sz w:val="24"/>
        </w:rPr>
        <w:t>meeting.</w:t>
      </w:r>
    </w:p>
    <w:p w14:paraId="4DA5AC7E" w14:textId="77777777" w:rsidR="00503272" w:rsidRDefault="00503272" w:rsidP="00503272">
      <w:pPr>
        <w:pStyle w:val="ListParagraph"/>
        <w:numPr>
          <w:ilvl w:val="0"/>
          <w:numId w:val="2"/>
        </w:numPr>
        <w:tabs>
          <w:tab w:val="left" w:pos="439"/>
        </w:tabs>
        <w:spacing w:line="259" w:lineRule="auto"/>
        <w:ind w:right="391" w:firstLine="0"/>
        <w:rPr>
          <w:sz w:val="24"/>
        </w:rPr>
      </w:pPr>
      <w:r>
        <w:rPr>
          <w:sz w:val="24"/>
        </w:rPr>
        <w:t>Commercial taxable real property, which includes the condominiums at the Bonnet Shores Beach Club, shall be entitled to designate one person of the age of majority (18 years old or older) to vote. This voter shall be designated and registered with the District at least thirty (30) days before the Annual Meeting or a special</w:t>
      </w:r>
      <w:r>
        <w:rPr>
          <w:spacing w:val="-3"/>
          <w:sz w:val="24"/>
        </w:rPr>
        <w:t xml:space="preserve"> </w:t>
      </w:r>
      <w:r>
        <w:rPr>
          <w:sz w:val="24"/>
        </w:rPr>
        <w:t>meeting.</w:t>
      </w:r>
    </w:p>
    <w:p w14:paraId="67D74732" w14:textId="77777777" w:rsidR="00503272" w:rsidRDefault="00503272" w:rsidP="00503272">
      <w:pPr>
        <w:pStyle w:val="BodyText"/>
        <w:spacing w:before="159" w:line="259" w:lineRule="auto"/>
        <w:ind w:right="175"/>
      </w:pPr>
      <w:r>
        <w:t>Any voter who is a qualified and registered voter with the Town of Narragansett or the owner of residential taxable real property in the District shall not be allowed to vote as the designated person of a BSBC condominium unit or other commercial real property, or as a trustee of a trust.</w:t>
      </w:r>
    </w:p>
    <w:p w14:paraId="48D338CF" w14:textId="77777777" w:rsidR="00503272" w:rsidRDefault="00503272" w:rsidP="00503272">
      <w:pPr>
        <w:pStyle w:val="BodyText"/>
        <w:spacing w:before="159" w:line="259" w:lineRule="auto"/>
        <w:ind w:right="735"/>
      </w:pPr>
      <w:r>
        <w:t>Seasonal renters or occupiers who do not qualify to vote under sections 1, 2, 3 or 4, are not qualified voters in the District.</w:t>
      </w:r>
    </w:p>
    <w:p w14:paraId="6A372966" w14:textId="77777777" w:rsidR="00503272" w:rsidRDefault="00503272" w:rsidP="00503272">
      <w:pPr>
        <w:pStyle w:val="BodyText"/>
        <w:spacing w:before="0"/>
        <w:ind w:left="0"/>
        <w:rPr>
          <w:sz w:val="20"/>
        </w:rPr>
      </w:pPr>
    </w:p>
    <w:p w14:paraId="613C23D7" w14:textId="77777777" w:rsidR="00503272" w:rsidRDefault="00503272" w:rsidP="00503272">
      <w:pPr>
        <w:pStyle w:val="BodyText"/>
        <w:spacing w:before="6"/>
        <w:ind w:left="0"/>
        <w:rPr>
          <w:sz w:val="13"/>
        </w:rPr>
      </w:pPr>
      <w:r>
        <w:rPr>
          <w:noProof/>
          <w:lang w:bidi="ar-SA"/>
        </w:rPr>
        <mc:AlternateContent>
          <mc:Choice Requires="wps">
            <w:drawing>
              <wp:anchor distT="0" distB="0" distL="0" distR="0" simplePos="0" relativeHeight="251659264" behindDoc="1" locked="0" layoutInCell="1" allowOverlap="1" wp14:anchorId="7964B259" wp14:editId="271B03C2">
                <wp:simplePos x="0" y="0"/>
                <wp:positionH relativeFrom="page">
                  <wp:posOffset>914400</wp:posOffset>
                </wp:positionH>
                <wp:positionV relativeFrom="paragraph">
                  <wp:posOffset>127000</wp:posOffset>
                </wp:positionV>
                <wp:extent cx="594360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DD0FC" id="Freeform 2" o:spid="_x0000_s1026" style="position:absolute;margin-left:1in;margin-top:10pt;width:46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" path="m,l9360,e" filled="f" strokeweight=".48pt">
                <v:path arrowok="t" o:connecttype="custom" o:connectlocs="0,0;5943600,0" o:connectangles="0,0"/>
                <w10:wrap type="topAndBottom" anchorx="page"/>
              </v:shape>
            </w:pict>
          </mc:Fallback>
        </mc:AlternateContent>
      </w:r>
    </w:p>
    <w:p w14:paraId="5B37DDA0" w14:textId="77777777" w:rsidR="00503272" w:rsidRDefault="00503272" w:rsidP="00503272">
      <w:pPr>
        <w:pStyle w:val="Heading1"/>
        <w:spacing w:before="153"/>
      </w:pPr>
      <w:r>
        <w:t>Rationale:</w:t>
      </w:r>
    </w:p>
    <w:p w14:paraId="093E19E5" w14:textId="77777777" w:rsidR="00503272" w:rsidRDefault="00503272" w:rsidP="00503272">
      <w:pPr>
        <w:pStyle w:val="ListParagraph"/>
        <w:numPr>
          <w:ilvl w:val="0"/>
          <w:numId w:val="1"/>
        </w:numPr>
        <w:tabs>
          <w:tab w:val="left" w:pos="442"/>
        </w:tabs>
        <w:spacing w:before="183"/>
        <w:ind w:hanging="342"/>
        <w:rPr>
          <w:sz w:val="24"/>
        </w:rPr>
      </w:pPr>
      <w:r>
        <w:rPr>
          <w:sz w:val="24"/>
        </w:rPr>
        <w:t>Is the floor as set forth in the Consent Order. (Required; right to</w:t>
      </w:r>
      <w:r>
        <w:rPr>
          <w:spacing w:val="-3"/>
          <w:sz w:val="24"/>
        </w:rPr>
        <w:t xml:space="preserve"> </w:t>
      </w:r>
      <w:r>
        <w:rPr>
          <w:sz w:val="24"/>
        </w:rPr>
        <w:t>vote).</w:t>
      </w:r>
    </w:p>
    <w:p w14:paraId="2E7426B5" w14:textId="77777777" w:rsidR="00503272" w:rsidRDefault="00503272" w:rsidP="00503272">
      <w:pPr>
        <w:pStyle w:val="ListParagraph"/>
        <w:numPr>
          <w:ilvl w:val="0"/>
          <w:numId w:val="1"/>
        </w:numPr>
        <w:tabs>
          <w:tab w:val="left" w:pos="442"/>
        </w:tabs>
        <w:spacing w:before="182" w:line="259" w:lineRule="auto"/>
        <w:ind w:left="100" w:right="131" w:firstLine="0"/>
        <w:rPr>
          <w:sz w:val="24"/>
        </w:rPr>
      </w:pPr>
      <w:r>
        <w:rPr>
          <w:sz w:val="24"/>
        </w:rPr>
        <w:t>Is a provision enlarging suffrage and bringing seasonal homeowners/taxpayers into the voting franchise.</w:t>
      </w:r>
    </w:p>
    <w:p w14:paraId="38FDB04A" w14:textId="77777777" w:rsidR="00503272" w:rsidRDefault="00503272" w:rsidP="00503272">
      <w:pPr>
        <w:pStyle w:val="ListParagraph"/>
        <w:numPr>
          <w:ilvl w:val="0"/>
          <w:numId w:val="1"/>
        </w:numPr>
        <w:tabs>
          <w:tab w:val="left" w:pos="442"/>
        </w:tabs>
        <w:spacing w:before="158" w:line="259" w:lineRule="auto"/>
        <w:ind w:left="100" w:right="303" w:firstLine="0"/>
        <w:rPr>
          <w:sz w:val="24"/>
        </w:rPr>
      </w:pPr>
      <w:r>
        <w:rPr>
          <w:sz w:val="24"/>
        </w:rPr>
        <w:t>Is a provision enlarging suffrage and bringing homes held in trusts/taxpayers into the voting franchise.</w:t>
      </w:r>
    </w:p>
    <w:p w14:paraId="7760EC1C" w14:textId="77777777" w:rsidR="00503272" w:rsidRDefault="00503272" w:rsidP="00503272">
      <w:pPr>
        <w:spacing w:line="259" w:lineRule="auto"/>
        <w:rPr>
          <w:sz w:val="24"/>
        </w:rPr>
        <w:sectPr w:rsidR="00503272" w:rsidSect="00503272">
          <w:pgSz w:w="12240" w:h="15840"/>
          <w:pgMar w:top="1500" w:right="1320" w:bottom="280" w:left="1340" w:header="720" w:footer="720" w:gutter="0"/>
          <w:cols w:space="720"/>
        </w:sectPr>
      </w:pPr>
    </w:p>
    <w:p w14:paraId="5C4ED738" w14:textId="77777777" w:rsidR="00503272" w:rsidRDefault="00503272" w:rsidP="00503272">
      <w:pPr>
        <w:pStyle w:val="ListParagraph"/>
        <w:numPr>
          <w:ilvl w:val="0"/>
          <w:numId w:val="1"/>
        </w:numPr>
        <w:tabs>
          <w:tab w:val="left" w:pos="442"/>
        </w:tabs>
        <w:spacing w:before="79" w:line="259" w:lineRule="auto"/>
        <w:ind w:left="100" w:right="1041" w:firstLine="0"/>
        <w:rPr>
          <w:sz w:val="24"/>
        </w:rPr>
      </w:pPr>
      <w:r>
        <w:rPr>
          <w:sz w:val="24"/>
        </w:rPr>
        <w:lastRenderedPageBreak/>
        <w:t>Is a provision enlarging suffrage and reflects the comments of the BSBC speakers</w:t>
      </w:r>
      <w:r>
        <w:rPr>
          <w:spacing w:val="-17"/>
          <w:sz w:val="24"/>
        </w:rPr>
        <w:t xml:space="preserve"> </w:t>
      </w:r>
      <w:r>
        <w:rPr>
          <w:sz w:val="24"/>
        </w:rPr>
        <w:t>at meetings, as a means to correct the dilution issue under the old voting</w:t>
      </w:r>
      <w:r>
        <w:rPr>
          <w:spacing w:val="-6"/>
          <w:sz w:val="24"/>
        </w:rPr>
        <w:t xml:space="preserve"> </w:t>
      </w:r>
      <w:r>
        <w:rPr>
          <w:sz w:val="24"/>
        </w:rPr>
        <w:t>franchise.</w:t>
      </w:r>
    </w:p>
    <w:p w14:paraId="57A372A8" w14:textId="77777777" w:rsidR="00503272" w:rsidRDefault="00503272" w:rsidP="00503272">
      <w:pPr>
        <w:pStyle w:val="BodyText"/>
        <w:spacing w:before="160" w:line="259" w:lineRule="auto"/>
        <w:ind w:right="216"/>
      </w:pPr>
      <w:r>
        <w:t>The seasonal renters or occupiers provision reflects concerns expressed by community members that this group, who are not entitled to vote and have no property interest, do not pay taxes and do not contribute materials and like kind services, will dilute the voting power of the floor: full- time persons whose home and residence under the R.I. Constitution and the state voting laws (voting domicile), is in the District and the parent government, Narragansett.</w:t>
      </w:r>
    </w:p>
    <w:p w14:paraId="347285C7" w14:textId="77777777" w:rsidR="00503272" w:rsidRDefault="00503272" w:rsidP="00503272">
      <w:pPr>
        <w:pStyle w:val="BodyText"/>
        <w:spacing w:before="0"/>
        <w:ind w:left="0"/>
        <w:rPr>
          <w:sz w:val="26"/>
        </w:rPr>
      </w:pPr>
    </w:p>
    <w:p w14:paraId="2882E89A" w14:textId="77777777" w:rsidR="00503272" w:rsidRDefault="00503272" w:rsidP="00503272">
      <w:pPr>
        <w:pStyle w:val="BodyText"/>
        <w:spacing w:before="7"/>
        <w:ind w:left="0"/>
        <w:rPr>
          <w:sz w:val="27"/>
        </w:rPr>
      </w:pPr>
    </w:p>
    <w:p w14:paraId="41223675" w14:textId="77777777" w:rsidR="00503272" w:rsidRDefault="00503272" w:rsidP="00503272">
      <w:pPr>
        <w:pStyle w:val="Heading1"/>
        <w:spacing w:before="1"/>
      </w:pPr>
      <w:r>
        <w:t>SECTION</w:t>
      </w:r>
      <w:r>
        <w:rPr>
          <w:spacing w:val="-1"/>
        </w:rPr>
        <w:t xml:space="preserve"> </w:t>
      </w:r>
      <w:r>
        <w:t>3.</w:t>
      </w:r>
    </w:p>
    <w:p w14:paraId="58901087" w14:textId="77777777" w:rsidR="00503272" w:rsidRDefault="00503272" w:rsidP="00503272">
      <w:pPr>
        <w:pStyle w:val="BodyText"/>
        <w:spacing w:before="183" w:line="259" w:lineRule="auto"/>
        <w:ind w:right="175"/>
      </w:pPr>
      <w:r>
        <w:t>The Assessors (or Canvassers) shall determine Qualified Voters. Verification shall be based on the tax assessment list of the District/Town of Narragansett and the voting list of the Town of Narragansett.</w:t>
      </w:r>
    </w:p>
    <w:p w14:paraId="29D6E5B5" w14:textId="77777777" w:rsidR="00503272" w:rsidRDefault="00503272" w:rsidP="00503272">
      <w:pPr>
        <w:pStyle w:val="Heading1"/>
        <w:spacing w:before="157"/>
      </w:pPr>
      <w:r>
        <w:t>Rationale:</w:t>
      </w:r>
    </w:p>
    <w:p w14:paraId="3437225A" w14:textId="77777777" w:rsidR="00503272" w:rsidRDefault="00503272" w:rsidP="00503272">
      <w:pPr>
        <w:pStyle w:val="BodyText"/>
        <w:spacing w:line="259" w:lineRule="auto"/>
        <w:ind w:right="576"/>
      </w:pPr>
      <w:r>
        <w:t>Verification of voters is simple, reliable, easily verifiable, and based upon the voting and tax records of Town of Narragansett, the parent government to Bonnet Shores. It is also cost effective, minimizing the expense to the community.</w:t>
      </w:r>
    </w:p>
    <w:p w14:paraId="422DA91E" w14:textId="77777777" w:rsidR="00503272" w:rsidRDefault="00503272" w:rsidP="00503272">
      <w:pPr>
        <w:pStyle w:val="BodyText"/>
        <w:spacing w:before="0"/>
        <w:ind w:left="0"/>
        <w:rPr>
          <w:sz w:val="26"/>
        </w:rPr>
      </w:pPr>
    </w:p>
    <w:p w14:paraId="6CBDB63E" w14:textId="77777777" w:rsidR="00503272" w:rsidRDefault="00503272" w:rsidP="00503272">
      <w:pPr>
        <w:pStyle w:val="BodyText"/>
        <w:spacing w:before="9"/>
        <w:ind w:left="0"/>
        <w:rPr>
          <w:sz w:val="27"/>
        </w:rPr>
      </w:pPr>
    </w:p>
    <w:p w14:paraId="45055A44" w14:textId="77777777" w:rsidR="00C14BEC" w:rsidRDefault="00C14BEC"/>
    <w:sectPr w:rsidR="00C14B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52BBD"/>
    <w:multiLevelType w:val="hybridMultilevel"/>
    <w:tmpl w:val="45A8ACD0"/>
    <w:lvl w:ilvl="0" w:tplc="5A804CF6">
      <w:start w:val="1"/>
      <w:numFmt w:val="decimal"/>
      <w:lvlText w:val="(%1)"/>
      <w:lvlJc w:val="left"/>
      <w:pPr>
        <w:ind w:left="100" w:hanging="339"/>
        <w:jc w:val="left"/>
      </w:pPr>
      <w:rPr>
        <w:rFonts w:ascii="Times New Roman" w:eastAsia="Times New Roman" w:hAnsi="Times New Roman" w:cs="Times New Roman" w:hint="default"/>
        <w:spacing w:val="-1"/>
        <w:w w:val="99"/>
        <w:sz w:val="24"/>
        <w:szCs w:val="24"/>
        <w:lang w:val="en-US" w:eastAsia="en-US" w:bidi="en-US"/>
      </w:rPr>
    </w:lvl>
    <w:lvl w:ilvl="1" w:tplc="C93A5082">
      <w:numFmt w:val="bullet"/>
      <w:lvlText w:val="•"/>
      <w:lvlJc w:val="left"/>
      <w:pPr>
        <w:ind w:left="1048" w:hanging="339"/>
      </w:pPr>
      <w:rPr>
        <w:rFonts w:hint="default"/>
        <w:lang w:val="en-US" w:eastAsia="en-US" w:bidi="en-US"/>
      </w:rPr>
    </w:lvl>
    <w:lvl w:ilvl="2" w:tplc="179282A0">
      <w:numFmt w:val="bullet"/>
      <w:lvlText w:val="•"/>
      <w:lvlJc w:val="left"/>
      <w:pPr>
        <w:ind w:left="1996" w:hanging="339"/>
      </w:pPr>
      <w:rPr>
        <w:rFonts w:hint="default"/>
        <w:lang w:val="en-US" w:eastAsia="en-US" w:bidi="en-US"/>
      </w:rPr>
    </w:lvl>
    <w:lvl w:ilvl="3" w:tplc="BEF8BB10">
      <w:numFmt w:val="bullet"/>
      <w:lvlText w:val="•"/>
      <w:lvlJc w:val="left"/>
      <w:pPr>
        <w:ind w:left="2944" w:hanging="339"/>
      </w:pPr>
      <w:rPr>
        <w:rFonts w:hint="default"/>
        <w:lang w:val="en-US" w:eastAsia="en-US" w:bidi="en-US"/>
      </w:rPr>
    </w:lvl>
    <w:lvl w:ilvl="4" w:tplc="0DE8C11C">
      <w:numFmt w:val="bullet"/>
      <w:lvlText w:val="•"/>
      <w:lvlJc w:val="left"/>
      <w:pPr>
        <w:ind w:left="3892" w:hanging="339"/>
      </w:pPr>
      <w:rPr>
        <w:rFonts w:hint="default"/>
        <w:lang w:val="en-US" w:eastAsia="en-US" w:bidi="en-US"/>
      </w:rPr>
    </w:lvl>
    <w:lvl w:ilvl="5" w:tplc="DEAE77B2">
      <w:numFmt w:val="bullet"/>
      <w:lvlText w:val="•"/>
      <w:lvlJc w:val="left"/>
      <w:pPr>
        <w:ind w:left="4840" w:hanging="339"/>
      </w:pPr>
      <w:rPr>
        <w:rFonts w:hint="default"/>
        <w:lang w:val="en-US" w:eastAsia="en-US" w:bidi="en-US"/>
      </w:rPr>
    </w:lvl>
    <w:lvl w:ilvl="6" w:tplc="4E0EBE3C">
      <w:numFmt w:val="bullet"/>
      <w:lvlText w:val="•"/>
      <w:lvlJc w:val="left"/>
      <w:pPr>
        <w:ind w:left="5788" w:hanging="339"/>
      </w:pPr>
      <w:rPr>
        <w:rFonts w:hint="default"/>
        <w:lang w:val="en-US" w:eastAsia="en-US" w:bidi="en-US"/>
      </w:rPr>
    </w:lvl>
    <w:lvl w:ilvl="7" w:tplc="BA3037C0">
      <w:numFmt w:val="bullet"/>
      <w:lvlText w:val="•"/>
      <w:lvlJc w:val="left"/>
      <w:pPr>
        <w:ind w:left="6736" w:hanging="339"/>
      </w:pPr>
      <w:rPr>
        <w:rFonts w:hint="default"/>
        <w:lang w:val="en-US" w:eastAsia="en-US" w:bidi="en-US"/>
      </w:rPr>
    </w:lvl>
    <w:lvl w:ilvl="8" w:tplc="151ACC64">
      <w:numFmt w:val="bullet"/>
      <w:lvlText w:val="•"/>
      <w:lvlJc w:val="left"/>
      <w:pPr>
        <w:ind w:left="7684" w:hanging="339"/>
      </w:pPr>
      <w:rPr>
        <w:rFonts w:hint="default"/>
        <w:lang w:val="en-US" w:eastAsia="en-US" w:bidi="en-US"/>
      </w:rPr>
    </w:lvl>
  </w:abstractNum>
  <w:abstractNum w:abstractNumId="1" w15:restartNumberingAfterBreak="0">
    <w:nsid w:val="5DCE0384"/>
    <w:multiLevelType w:val="hybridMultilevel"/>
    <w:tmpl w:val="F6A4BE1E"/>
    <w:lvl w:ilvl="0" w:tplc="168A0B84">
      <w:start w:val="1"/>
      <w:numFmt w:val="decimal"/>
      <w:lvlText w:val="(%1)"/>
      <w:lvlJc w:val="left"/>
      <w:pPr>
        <w:ind w:left="441" w:hanging="341"/>
        <w:jc w:val="left"/>
      </w:pPr>
      <w:rPr>
        <w:rFonts w:ascii="Times New Roman" w:eastAsia="Times New Roman" w:hAnsi="Times New Roman" w:cs="Times New Roman" w:hint="default"/>
        <w:spacing w:val="-4"/>
        <w:w w:val="99"/>
        <w:sz w:val="24"/>
        <w:szCs w:val="24"/>
        <w:lang w:val="en-US" w:eastAsia="en-US" w:bidi="en-US"/>
      </w:rPr>
    </w:lvl>
    <w:lvl w:ilvl="1" w:tplc="1F5A2088">
      <w:numFmt w:val="bullet"/>
      <w:lvlText w:val="•"/>
      <w:lvlJc w:val="left"/>
      <w:pPr>
        <w:ind w:left="1354" w:hanging="341"/>
      </w:pPr>
      <w:rPr>
        <w:rFonts w:hint="default"/>
        <w:lang w:val="en-US" w:eastAsia="en-US" w:bidi="en-US"/>
      </w:rPr>
    </w:lvl>
    <w:lvl w:ilvl="2" w:tplc="6052B638">
      <w:numFmt w:val="bullet"/>
      <w:lvlText w:val="•"/>
      <w:lvlJc w:val="left"/>
      <w:pPr>
        <w:ind w:left="2268" w:hanging="341"/>
      </w:pPr>
      <w:rPr>
        <w:rFonts w:hint="default"/>
        <w:lang w:val="en-US" w:eastAsia="en-US" w:bidi="en-US"/>
      </w:rPr>
    </w:lvl>
    <w:lvl w:ilvl="3" w:tplc="F7726BF4">
      <w:numFmt w:val="bullet"/>
      <w:lvlText w:val="•"/>
      <w:lvlJc w:val="left"/>
      <w:pPr>
        <w:ind w:left="3182" w:hanging="341"/>
      </w:pPr>
      <w:rPr>
        <w:rFonts w:hint="default"/>
        <w:lang w:val="en-US" w:eastAsia="en-US" w:bidi="en-US"/>
      </w:rPr>
    </w:lvl>
    <w:lvl w:ilvl="4" w:tplc="1180DDA2">
      <w:numFmt w:val="bullet"/>
      <w:lvlText w:val="•"/>
      <w:lvlJc w:val="left"/>
      <w:pPr>
        <w:ind w:left="4096" w:hanging="341"/>
      </w:pPr>
      <w:rPr>
        <w:rFonts w:hint="default"/>
        <w:lang w:val="en-US" w:eastAsia="en-US" w:bidi="en-US"/>
      </w:rPr>
    </w:lvl>
    <w:lvl w:ilvl="5" w:tplc="25C6886A">
      <w:numFmt w:val="bullet"/>
      <w:lvlText w:val="•"/>
      <w:lvlJc w:val="left"/>
      <w:pPr>
        <w:ind w:left="5010" w:hanging="341"/>
      </w:pPr>
      <w:rPr>
        <w:rFonts w:hint="default"/>
        <w:lang w:val="en-US" w:eastAsia="en-US" w:bidi="en-US"/>
      </w:rPr>
    </w:lvl>
    <w:lvl w:ilvl="6" w:tplc="C040102A">
      <w:numFmt w:val="bullet"/>
      <w:lvlText w:val="•"/>
      <w:lvlJc w:val="left"/>
      <w:pPr>
        <w:ind w:left="5924" w:hanging="341"/>
      </w:pPr>
      <w:rPr>
        <w:rFonts w:hint="default"/>
        <w:lang w:val="en-US" w:eastAsia="en-US" w:bidi="en-US"/>
      </w:rPr>
    </w:lvl>
    <w:lvl w:ilvl="7" w:tplc="7E6A078E">
      <w:numFmt w:val="bullet"/>
      <w:lvlText w:val="•"/>
      <w:lvlJc w:val="left"/>
      <w:pPr>
        <w:ind w:left="6838" w:hanging="341"/>
      </w:pPr>
      <w:rPr>
        <w:rFonts w:hint="default"/>
        <w:lang w:val="en-US" w:eastAsia="en-US" w:bidi="en-US"/>
      </w:rPr>
    </w:lvl>
    <w:lvl w:ilvl="8" w:tplc="2F2E586C">
      <w:numFmt w:val="bullet"/>
      <w:lvlText w:val="•"/>
      <w:lvlJc w:val="left"/>
      <w:pPr>
        <w:ind w:left="7752" w:hanging="341"/>
      </w:pPr>
      <w:rPr>
        <w:rFonts w:hint="default"/>
        <w:lang w:val="en-US" w:eastAsia="en-US" w:bidi="en-US"/>
      </w:rPr>
    </w:lvl>
  </w:abstractNum>
  <w:num w:numId="1" w16cid:durableId="1900895537">
    <w:abstractNumId w:val="1"/>
  </w:num>
  <w:num w:numId="2" w16cid:durableId="786316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72"/>
    <w:rsid w:val="000A6423"/>
    <w:rsid w:val="003B263D"/>
    <w:rsid w:val="00503272"/>
    <w:rsid w:val="00C1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892C6"/>
  <w15:chartTrackingRefBased/>
  <w15:docId w15:val="{3B2F6D7C-D737-4A04-B8BE-7476F6016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03272"/>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503272"/>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03272"/>
    <w:rPr>
      <w:rFonts w:ascii="Times New Roman" w:eastAsia="Times New Roman" w:hAnsi="Times New Roman" w:cs="Times New Roman"/>
      <w:b/>
      <w:bCs/>
      <w:sz w:val="24"/>
      <w:szCs w:val="24"/>
      <w:lang w:bidi="en-US"/>
    </w:rPr>
  </w:style>
  <w:style w:type="paragraph" w:styleId="BodyText">
    <w:name w:val="Body Text"/>
    <w:basedOn w:val="Normal"/>
    <w:link w:val="BodyTextChar"/>
    <w:uiPriority w:val="1"/>
    <w:qFormat/>
    <w:rsid w:val="00503272"/>
    <w:pPr>
      <w:spacing w:before="182"/>
      <w:ind w:left="100"/>
    </w:pPr>
    <w:rPr>
      <w:sz w:val="24"/>
      <w:szCs w:val="24"/>
    </w:rPr>
  </w:style>
  <w:style w:type="character" w:customStyle="1" w:styleId="BodyTextChar">
    <w:name w:val="Body Text Char"/>
    <w:basedOn w:val="DefaultParagraphFont"/>
    <w:link w:val="BodyText"/>
    <w:uiPriority w:val="1"/>
    <w:rsid w:val="00503272"/>
    <w:rPr>
      <w:rFonts w:ascii="Times New Roman" w:eastAsia="Times New Roman" w:hAnsi="Times New Roman" w:cs="Times New Roman"/>
      <w:sz w:val="24"/>
      <w:szCs w:val="24"/>
      <w:lang w:bidi="en-US"/>
    </w:rPr>
  </w:style>
  <w:style w:type="paragraph" w:styleId="ListParagraph">
    <w:name w:val="List Paragraph"/>
    <w:basedOn w:val="Normal"/>
    <w:uiPriority w:val="1"/>
    <w:qFormat/>
    <w:rsid w:val="00503272"/>
    <w:pPr>
      <w:spacing w:before="160"/>
      <w:ind w:lef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LaSalle</dc:creator>
  <cp:keywords/>
  <dc:description/>
  <cp:lastModifiedBy>Mitchell Duran</cp:lastModifiedBy>
  <cp:revision>2</cp:revision>
  <cp:lastPrinted>2025-01-27T13:27:00Z</cp:lastPrinted>
  <dcterms:created xsi:type="dcterms:W3CDTF">2025-01-27T13:27:00Z</dcterms:created>
  <dcterms:modified xsi:type="dcterms:W3CDTF">2025-01-27T13:27:00Z</dcterms:modified>
</cp:coreProperties>
</file>